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E4B7" w14:textId="24E62C0F" w:rsidR="00E162C3" w:rsidRPr="00E162C3" w:rsidRDefault="00E162C3" w:rsidP="00F42E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color w:val="474D5E"/>
          <w:sz w:val="36"/>
          <w:szCs w:val="36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36"/>
          <w:szCs w:val="36"/>
          <w:bdr w:val="none" w:sz="0" w:space="0" w:color="auto" w:frame="1"/>
          <w:lang w:eastAsia="ru-RU"/>
        </w:rPr>
        <w:t>Что такое инклюзивное образование</w:t>
      </w:r>
    </w:p>
    <w:p w14:paraId="70B91D3D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Детям с ОВЗ на всей территории нашей страны закон гарантирует единое качество обучения (</w:t>
      </w:r>
      <w:hyperlink r:id="rId4" w:anchor="/document/99/902389617/ZA00MEO2NF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ст. 5 Федерального закона от 29.12.2012 № 273-ФЗ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). Это называют инклюзивным образованием.</w:t>
      </w:r>
    </w:p>
    <w:p w14:paraId="5E1779DA" w14:textId="77777777" w:rsidR="00F42EE8" w:rsidRDefault="00E162C3" w:rsidP="00F42EE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46674444" w14:textId="64319B16" w:rsidR="00E162C3" w:rsidRPr="00E162C3" w:rsidRDefault="00E162C3" w:rsidP="00F42EE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Инклюзивное образование </w:t>
      </w: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для учеников младшей школы без умственной отсталости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базируется на нормативных документах:</w:t>
      </w:r>
    </w:p>
    <w:p w14:paraId="02B2B22F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ФГОС начального общего образования для обучающихся с ОВЗ (</w:t>
      </w:r>
      <w:hyperlink r:id="rId5" w:anchor="/document/97/259625/bssPhr1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Минобрнауки от 19 декабря 2014 года № 1598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);</w:t>
      </w:r>
    </w:p>
    <w:p w14:paraId="1C6A6182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ФАОП начального общего образования для обучающихся с ОВЗ (</w:t>
      </w:r>
      <w:hyperlink r:id="rId6" w:anchor="/document/99/1300260898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Минпросвещения от 24.11.2022 № 1023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).</w:t>
      </w:r>
    </w:p>
    <w:p w14:paraId="382B870E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Для учеников основной школы без умственной отсталости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базируется на нормативных документах:</w:t>
      </w:r>
    </w:p>
    <w:p w14:paraId="78E8F1DC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ФГОС основного общего образования третьего поколения (</w:t>
      </w:r>
      <w:hyperlink r:id="rId7" w:anchor="/document/99/607175848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Минпросвещения России от 31.05.2021 № 287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);</w:t>
      </w:r>
    </w:p>
    <w:p w14:paraId="1B937398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ФГОС основного общего образования второго поколения (</w:t>
      </w:r>
      <w:hyperlink r:id="rId8" w:anchor="/document/99/902254916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Минобрнауки России от 17.12.2010 № 1897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);</w:t>
      </w:r>
    </w:p>
    <w:p w14:paraId="02C64CA3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ФАОП основного общего образования для обучающихся с ОВЗ (</w:t>
      </w:r>
      <w:hyperlink r:id="rId9" w:anchor="/document/99/1300260897/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Минпросвещения России от 24.11.2022 № 1025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);</w:t>
      </w:r>
    </w:p>
    <w:p w14:paraId="0C76C875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Для учеников средней школы без умственной отсталости:</w:t>
      </w:r>
    </w:p>
    <w:p w14:paraId="43F4EFAC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ФГОС среднего общего образования (</w:t>
      </w:r>
      <w:hyperlink r:id="rId10" w:anchor="/document/99/902350579/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Минобрнауки России от 17.05.2012 № 413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; с учетом изменений </w:t>
      </w:r>
      <w:hyperlink r:id="rId11" w:anchor="/document/99/351729442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от 12.08.2022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, которые конкретизируют требования к предметным результатам детей с ОВЗ);</w:t>
      </w:r>
    </w:p>
    <w:p w14:paraId="269B68AD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ФОП среднего общего образования (</w:t>
      </w:r>
      <w:hyperlink r:id="rId12" w:anchor="/document/97/502840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Минпросвещения России от 23.11.2022 № 1014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 – используйте ее, поскольку федеральной адаптированной программы для учеников средней школы без умственной отсталости пока нет.</w:t>
      </w:r>
    </w:p>
    <w:p w14:paraId="330B7F2D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Для учеников всех ступеней с умственной отсталостью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:</w:t>
      </w:r>
    </w:p>
    <w:p w14:paraId="5B1AC261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ФГОС для обучающихся с умственной отсталостью (интеллектуальными нарушениями) (</w:t>
      </w:r>
      <w:hyperlink r:id="rId13" w:anchor="/document/99/420245391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Минобрнауки от 19.12.2014 № 1599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);</w:t>
      </w:r>
    </w:p>
    <w:p w14:paraId="2C9FE5B2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– ФАООП для обучающихся с умственной отсталостью (интеллектуальными нарушениями) (</w:t>
      </w:r>
      <w:hyperlink r:id="rId14" w:anchor="/document/97/503109" w:tgtFrame="_blank" w:history="1">
        <w:r w:rsidRPr="00E162C3">
          <w:rPr>
            <w:rFonts w:ascii="inherit" w:eastAsia="Times New Roman" w:hAnsi="inherit" w:cs="Helvetica"/>
            <w:color w:val="0000FF"/>
            <w:sz w:val="27"/>
            <w:szCs w:val="27"/>
            <w:bdr w:val="none" w:sz="0" w:space="0" w:color="auto" w:frame="1"/>
            <w:lang w:eastAsia="ru-RU"/>
          </w:rPr>
          <w:t>утв. приказом Минпросвещения от 24.11.2022 № 1026</w:t>
        </w:r>
      </w:hyperlink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).</w:t>
      </w:r>
    </w:p>
    <w:p w14:paraId="0D3BAB12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16B7BBF6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Helvetica"/>
          <w:color w:val="474D5E"/>
          <w:sz w:val="36"/>
          <w:szCs w:val="36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36"/>
          <w:szCs w:val="36"/>
          <w:bdr w:val="none" w:sz="0" w:space="0" w:color="auto" w:frame="1"/>
          <w:lang w:eastAsia="ru-RU"/>
        </w:rPr>
        <w:t>Кто направляет детей на ПМПК</w:t>
      </w:r>
    </w:p>
    <w:p w14:paraId="21B29400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На ПМПК направляет социальная служба, медицинское государственное учреждение, образовательное учреждение или общественная организация. Но только с согласия родителей.</w:t>
      </w:r>
    </w:p>
    <w:p w14:paraId="5AE4905A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0D82AA0F" w14:textId="77777777" w:rsidR="00E162C3" w:rsidRPr="00E162C3" w:rsidRDefault="00E162C3" w:rsidP="00A974EC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color w:val="474D5E"/>
          <w:sz w:val="27"/>
          <w:szCs w:val="27"/>
          <w:lang w:eastAsia="ru-RU"/>
        </w:rPr>
      </w:pPr>
      <w:r w:rsidRPr="00E162C3">
        <w:rPr>
          <w:rFonts w:ascii="Helvetica" w:eastAsia="Times New Roman" w:hAnsi="Helvetica" w:cs="Helvetica"/>
          <w:noProof/>
          <w:color w:val="474D5E"/>
          <w:sz w:val="27"/>
          <w:szCs w:val="27"/>
          <w:lang w:eastAsia="ru-RU"/>
        </w:rPr>
        <w:lastRenderedPageBreak/>
        <w:drawing>
          <wp:inline distT="0" distB="0" distL="0" distR="0" wp14:anchorId="6D5FA188" wp14:editId="08C4D59F">
            <wp:extent cx="6191250" cy="607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C15C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1280E44E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Helvetica"/>
          <w:color w:val="474D5E"/>
          <w:sz w:val="36"/>
          <w:szCs w:val="36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36"/>
          <w:szCs w:val="36"/>
          <w:bdr w:val="none" w:sz="0" w:space="0" w:color="auto" w:frame="1"/>
          <w:lang w:eastAsia="ru-RU"/>
        </w:rPr>
        <w:t>Чем отличается ребенок-инвалид от ребенка с ОВЗ</w:t>
      </w:r>
    </w:p>
    <w:p w14:paraId="75C33DCE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Инвалидность и ограничения по здоровью в российском законодательстве имеют разный статус. Статус инвалида ребенку присваивает бюро медико-социальной экспертизы на основании проблем со здоровьем, которые ограничивают жизнедеятельность. Статус учащегося с ОВЗ присваивает психолого-медико-педагогическая комиссия. Один и тот же ученик может иметь статусы инвалида и лица с особыми образовательными потребностями.</w:t>
      </w:r>
    </w:p>
    <w:p w14:paraId="5E26EDE3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16810698" w14:textId="77777777" w:rsidR="00E162C3" w:rsidRPr="00E162C3" w:rsidRDefault="00E162C3" w:rsidP="00A974EC">
      <w:pPr>
        <w:shd w:val="clear" w:color="auto" w:fill="9C96F4"/>
        <w:spacing w:line="240" w:lineRule="auto"/>
        <w:jc w:val="both"/>
        <w:textAlignment w:val="baseline"/>
        <w:rPr>
          <w:rFonts w:ascii="inherit" w:eastAsia="Times New Roman" w:hAnsi="inherit" w:cs="Helvetica"/>
          <w:color w:val="FFFFFF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FFFFFF"/>
          <w:sz w:val="27"/>
          <w:szCs w:val="27"/>
          <w:lang w:eastAsia="ru-RU"/>
        </w:rPr>
        <w:t>Не каждый ребенок с ОВЗ – инвалид. И не каждый инвалид имеет статус лица с ограниченными возможностями здоровья (ОВЗ).</w:t>
      </w:r>
    </w:p>
    <w:p w14:paraId="29D05EBA" w14:textId="1AA97003" w:rsidR="00E162C3" w:rsidRPr="00E162C3" w:rsidRDefault="00E162C3" w:rsidP="00A974EC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lastRenderedPageBreak/>
        <w:t>Категории детей с ОВЗ</w:t>
      </w:r>
    </w:p>
    <w:p w14:paraId="39CECBA1" w14:textId="77777777" w:rsidR="00E162C3" w:rsidRPr="00E162C3" w:rsidRDefault="00E162C3" w:rsidP="00E162C3">
      <w:pPr>
        <w:shd w:val="clear" w:color="auto" w:fill="FFFFFF"/>
        <w:spacing w:after="0" w:line="374" w:lineRule="atLeast"/>
        <w:textAlignment w:val="baseline"/>
        <w:rPr>
          <w:rFonts w:ascii="Helvetica" w:eastAsia="Times New Roman" w:hAnsi="Helvetica" w:cs="Helvetica"/>
          <w:color w:val="474D5E"/>
          <w:sz w:val="27"/>
          <w:szCs w:val="27"/>
          <w:lang w:eastAsia="ru-RU"/>
        </w:rPr>
      </w:pPr>
      <w:r w:rsidRPr="00E162C3">
        <w:rPr>
          <w:rFonts w:ascii="Helvetica" w:eastAsia="Times New Roman" w:hAnsi="Helvetica" w:cs="Helvetica"/>
          <w:noProof/>
          <w:color w:val="474D5E"/>
          <w:sz w:val="27"/>
          <w:szCs w:val="27"/>
          <w:lang w:eastAsia="ru-RU"/>
        </w:rPr>
        <w:drawing>
          <wp:inline distT="0" distB="0" distL="0" distR="0" wp14:anchorId="0243E7F1" wp14:editId="0225BE5A">
            <wp:extent cx="4695825" cy="403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B2F5" w14:textId="77777777" w:rsidR="00E162C3" w:rsidRPr="00E162C3" w:rsidRDefault="00E162C3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77EC482D" w14:textId="77777777" w:rsidR="00E162C3" w:rsidRPr="00E162C3" w:rsidRDefault="00E162C3" w:rsidP="00E162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BBF18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1BBF18"/>
          <w:sz w:val="27"/>
          <w:szCs w:val="27"/>
          <w:bdr w:val="none" w:sz="0" w:space="0" w:color="auto" w:frame="1"/>
          <w:lang w:eastAsia="ru-RU"/>
        </w:rPr>
        <w:t>Могут ли категории ОВЗ сочетаться</w:t>
      </w:r>
    </w:p>
    <w:p w14:paraId="3E99EB1F" w14:textId="77777777" w:rsidR="00E162C3" w:rsidRPr="00E162C3" w:rsidRDefault="00E162C3" w:rsidP="00E162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Да, дети с ОВЗ могут иметь сразу несколько диагнозов. К примеру, ребенок с ДЦП одновременно может быть и слабовидящим.</w:t>
      </w:r>
    </w:p>
    <w:p w14:paraId="31DDD902" w14:textId="77777777" w:rsidR="00E162C3" w:rsidRPr="00E162C3" w:rsidRDefault="00E162C3" w:rsidP="00E162C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613C07A0" w14:textId="77777777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50D7DF69" w14:textId="77777777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6EA85823" w14:textId="77777777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762A2992" w14:textId="77777777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20A14034" w14:textId="713AEACB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7C4E676D" w14:textId="66E2C033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23F44B42" w14:textId="6DF7D793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58160FDF" w14:textId="616BC663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7EA69EC6" w14:textId="592617D3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256CEA46" w14:textId="5E643321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450A5F91" w14:textId="77777777" w:rsidR="00A974EC" w:rsidRDefault="00A974EC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</w:p>
    <w:p w14:paraId="50A5AF6F" w14:textId="4A89B994" w:rsidR="00E162C3" w:rsidRPr="00E162C3" w:rsidRDefault="00E162C3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lastRenderedPageBreak/>
        <w:t> </w:t>
      </w:r>
    </w:p>
    <w:p w14:paraId="7F4802F2" w14:textId="3A010AB4" w:rsidR="00E162C3" w:rsidRPr="00E162C3" w:rsidRDefault="00E162C3" w:rsidP="00A974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Формы обучения детей с ОВЗ</w:t>
      </w:r>
    </w:p>
    <w:p w14:paraId="08A60503" w14:textId="77777777" w:rsidR="00E162C3" w:rsidRPr="00E162C3" w:rsidRDefault="00E162C3" w:rsidP="00E162C3">
      <w:pPr>
        <w:shd w:val="clear" w:color="auto" w:fill="FFFFFF"/>
        <w:spacing w:after="0" w:line="374" w:lineRule="atLeast"/>
        <w:textAlignment w:val="baseline"/>
        <w:rPr>
          <w:rFonts w:ascii="Helvetica" w:eastAsia="Times New Roman" w:hAnsi="Helvetica" w:cs="Helvetica"/>
          <w:color w:val="474D5E"/>
          <w:sz w:val="27"/>
          <w:szCs w:val="27"/>
          <w:lang w:eastAsia="ru-RU"/>
        </w:rPr>
      </w:pPr>
      <w:r w:rsidRPr="00E162C3">
        <w:rPr>
          <w:rFonts w:ascii="Helvetica" w:eastAsia="Times New Roman" w:hAnsi="Helvetica" w:cs="Helvetica"/>
          <w:noProof/>
          <w:color w:val="474D5E"/>
          <w:sz w:val="27"/>
          <w:szCs w:val="27"/>
          <w:lang w:eastAsia="ru-RU"/>
        </w:rPr>
        <w:drawing>
          <wp:inline distT="0" distB="0" distL="0" distR="0" wp14:anchorId="55DD2A42" wp14:editId="7605A2F9">
            <wp:extent cx="5772150" cy="4947557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93" cy="49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0ABF" w14:textId="77777777" w:rsidR="00E162C3" w:rsidRPr="00E162C3" w:rsidRDefault="00E162C3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7C78263D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Helvetica"/>
          <w:color w:val="474D5E"/>
          <w:sz w:val="36"/>
          <w:szCs w:val="36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36"/>
          <w:szCs w:val="36"/>
          <w:bdr w:val="none" w:sz="0" w:space="0" w:color="auto" w:frame="1"/>
          <w:lang w:eastAsia="ru-RU"/>
        </w:rPr>
        <w:t>Частичная и полная инклюзия: в чем различия</w:t>
      </w:r>
    </w:p>
    <w:p w14:paraId="285FDEBC" w14:textId="77777777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Так как дети с ОВЗ развиваются по-разному и имеют разные возможности для социализации, в школах внедряют три модели инклюзивного образования – полную, неполную и частичную инклюзию. Разберем подробнее.</w:t>
      </w:r>
    </w:p>
    <w:p w14:paraId="00F08D6B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Полная инклюзия.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Предполагает, что ребенок учится в классе с нормативно развивающимися сверстниками и постепенно осваивается в их обществе. Педагог обучает детей – обычных и с ОВЗ – по разным программам. Фактически, учитель выполняет функции дефектолога. Чтобы обучение детей с ОВЗ было успешным, педагог должен хорошо владеть технологией дифференцированного обучения.</w:t>
      </w:r>
    </w:p>
    <w:p w14:paraId="7C133B17" w14:textId="45AA7863" w:rsidR="00E162C3" w:rsidRPr="00E162C3" w:rsidRDefault="00E162C3" w:rsidP="00F42EE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При полной инклюзии детей с ОВЗ распределяют в обычные классы по 1–-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softHyphen/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softHyphen/>
        <w:t>3 человека.</w:t>
      </w:r>
    </w:p>
    <w:p w14:paraId="05426A98" w14:textId="55046ABD" w:rsidR="00E162C3" w:rsidRPr="00E162C3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lastRenderedPageBreak/>
        <w:t> </w:t>
      </w: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Неполная инклюзия.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Ребенок с ОВЗ также учится в обычном классе с нормативно развивающимися школьниками. Но недостатки развития позволяют ему осваивать предметные области наравне со сверстниками, по их программе. При этом ребенок все равно получает специализированную коррекционную помощь.</w:t>
      </w:r>
    </w:p>
    <w:p w14:paraId="600001B7" w14:textId="77777777" w:rsidR="00E162C3" w:rsidRPr="00E162C3" w:rsidRDefault="00E162C3" w:rsidP="00A974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Частичная инклюзия.</w:t>
      </w: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Ребенок с ОВЗ совмещает домашнее обучение с посещением школы, при этом занятия на дому для ребенка основные. Обычно такой вариант обучения подбирают для школьников-инвалидов. Педагоги работают с ними по индивидуальному учебному плану.</w:t>
      </w:r>
    </w:p>
    <w:p w14:paraId="70E41950" w14:textId="77777777" w:rsidR="00A974EC" w:rsidRDefault="00E162C3" w:rsidP="00A974EC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p w14:paraId="137104D4" w14:textId="3376D55D" w:rsidR="00E162C3" w:rsidRPr="00E162C3" w:rsidRDefault="00E162C3" w:rsidP="00A974EC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b/>
          <w:bCs/>
          <w:color w:val="474D5E"/>
          <w:sz w:val="27"/>
          <w:szCs w:val="27"/>
          <w:bdr w:val="none" w:sz="0" w:space="0" w:color="auto" w:frame="1"/>
          <w:lang w:eastAsia="ru-RU"/>
        </w:rPr>
        <w:t>Частичная и полная инклюзия: в чем плюсы и минусы</w:t>
      </w:r>
    </w:p>
    <w:p w14:paraId="71D2EB71" w14:textId="77777777" w:rsidR="00E162C3" w:rsidRPr="00E162C3" w:rsidRDefault="00E162C3" w:rsidP="00E162C3">
      <w:pPr>
        <w:shd w:val="clear" w:color="auto" w:fill="FFFFFF"/>
        <w:spacing w:after="0" w:line="374" w:lineRule="atLeast"/>
        <w:textAlignment w:val="baseline"/>
        <w:rPr>
          <w:rFonts w:ascii="Helvetica" w:eastAsia="Times New Roman" w:hAnsi="Helvetica" w:cs="Helvetica"/>
          <w:color w:val="474D5E"/>
          <w:sz w:val="27"/>
          <w:szCs w:val="27"/>
          <w:lang w:eastAsia="ru-RU"/>
        </w:rPr>
      </w:pPr>
      <w:r w:rsidRPr="00E162C3">
        <w:rPr>
          <w:rFonts w:ascii="Helvetica" w:eastAsia="Times New Roman" w:hAnsi="Helvetica" w:cs="Helvetica"/>
          <w:noProof/>
          <w:color w:val="474D5E"/>
          <w:sz w:val="27"/>
          <w:szCs w:val="27"/>
          <w:lang w:eastAsia="ru-RU"/>
        </w:rPr>
        <w:drawing>
          <wp:inline distT="0" distB="0" distL="0" distR="0" wp14:anchorId="5E46C284" wp14:editId="6B7F184E">
            <wp:extent cx="5700713" cy="4886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505" cy="48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3142" w14:textId="77777777" w:rsidR="00E162C3" w:rsidRPr="00E162C3" w:rsidRDefault="00E162C3" w:rsidP="00E162C3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162C3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 </w:t>
      </w:r>
    </w:p>
    <w:sectPr w:rsidR="00E162C3" w:rsidRPr="00E162C3" w:rsidSect="00A974E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4"/>
    <w:rsid w:val="005221C4"/>
    <w:rsid w:val="00572923"/>
    <w:rsid w:val="008F0129"/>
    <w:rsid w:val="00A974EC"/>
    <w:rsid w:val="00E162C3"/>
    <w:rsid w:val="00F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A05"/>
  <w15:chartTrackingRefBased/>
  <w15:docId w15:val="{FBDEF962-FADA-450D-81E6-8ADCF30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62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928">
              <w:marLeft w:val="0"/>
              <w:marRight w:val="0"/>
              <w:marTop w:val="28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821">
              <w:marLeft w:val="0"/>
              <w:marRight w:val="0"/>
              <w:marTop w:val="3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4694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132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4543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74118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1770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304">
                  <w:marLeft w:val="-1320"/>
                  <w:marRight w:val="-132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6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3238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1304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51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169320">
          <w:marLeft w:val="0"/>
          <w:marRight w:val="0"/>
          <w:marTop w:val="48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365">
              <w:marLeft w:val="0"/>
              <w:marRight w:val="0"/>
              <w:marTop w:val="28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957">
              <w:marLeft w:val="0"/>
              <w:marRight w:val="0"/>
              <w:marTop w:val="3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953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970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1145970646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2107267516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7011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1553955095">
                  <w:blockQuote w:val="1"/>
                  <w:marLeft w:val="-1320"/>
                  <w:marRight w:val="-1320"/>
                  <w:marTop w:val="360"/>
                  <w:marBottom w:val="360"/>
                  <w:divBdr>
                    <w:top w:val="single" w:sz="6" w:space="22" w:color="549FFA"/>
                    <w:left w:val="none" w:sz="0" w:space="0" w:color="auto"/>
                    <w:bottom w:val="single" w:sz="6" w:space="20" w:color="549FFA"/>
                    <w:right w:val="none" w:sz="0" w:space="0" w:color="auto"/>
                  </w:divBdr>
                  <w:divsChild>
                    <w:div w:id="779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6081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8259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  <w:divsChild>
                    <w:div w:id="2099789184">
                      <w:marLeft w:val="-1350"/>
                      <w:marRight w:val="-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39419">
                      <w:marLeft w:val="-1350"/>
                      <w:marRight w:val="-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452212">
                      <w:marLeft w:val="-1350"/>
                      <w:marRight w:val="-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4721">
                      <w:marLeft w:val="-1350"/>
                      <w:marRight w:val="-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04">
              <w:marLeft w:val="0"/>
              <w:marRight w:val="0"/>
              <w:marTop w:val="28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9054">
              <w:marLeft w:val="0"/>
              <w:marRight w:val="0"/>
              <w:marTop w:val="3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980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677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4872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89129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338392744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418">
                  <w:marLeft w:val="-1320"/>
                  <w:marRight w:val="-132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96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241">
          <w:marLeft w:val="0"/>
          <w:marRight w:val="0"/>
          <w:marTop w:val="48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action360.ru/" TargetMode="External"/><Relationship Id="rId13" Type="http://schemas.openxmlformats.org/officeDocument/2006/relationships/hyperlink" Target="https://npd.action360.ru/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npd.action360.ru/" TargetMode="External"/><Relationship Id="rId12" Type="http://schemas.openxmlformats.org/officeDocument/2006/relationships/hyperlink" Target="https://npd.action360.ru/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pd.action360.ru/" TargetMode="External"/><Relationship Id="rId11" Type="http://schemas.openxmlformats.org/officeDocument/2006/relationships/hyperlink" Target="https://npd.action360.ru/" TargetMode="External"/><Relationship Id="rId5" Type="http://schemas.openxmlformats.org/officeDocument/2006/relationships/hyperlink" Target="https://npd.action360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npd.action360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pd.action360.ru/" TargetMode="External"/><Relationship Id="rId9" Type="http://schemas.openxmlformats.org/officeDocument/2006/relationships/hyperlink" Target="https://npd.action360.ru/" TargetMode="External"/><Relationship Id="rId14" Type="http://schemas.openxmlformats.org/officeDocument/2006/relationships/hyperlink" Target="https://npd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Перспектива</dc:creator>
  <cp:keywords/>
  <dc:description/>
  <cp:lastModifiedBy>Перспектива</cp:lastModifiedBy>
  <cp:revision>5</cp:revision>
  <dcterms:created xsi:type="dcterms:W3CDTF">2023-11-01T10:23:00Z</dcterms:created>
  <dcterms:modified xsi:type="dcterms:W3CDTF">2023-11-06T08:44:00Z</dcterms:modified>
</cp:coreProperties>
</file>